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Restyling Utah’s Vector Basemap for MapLibre</w:t>
      </w:r>
    </w:p>
    <w:p>
      <w:pPr>
        <w:pStyle w:val="Subtitle"/>
      </w:pPr>
      <w:r>
        <w:t xml:space="preserve">Dark and warm-light themes for UGRC’s Lite basemap, plus a browser-based style editor</w:t>
      </w:r>
    </w:p>
    <w:p>
      <w:pPr>
        <w:pStyle w:val="Author"/>
      </w:pPr>
      <w:r>
        <w:t xml:space="preserve">Pukar Bhandari</w:t>
      </w:r>
    </w:p>
    <w:p>
      <w:pPr>
        <w:pStyle w:val="Date"/>
      </w:pPr>
      <w:r>
        <w:t xml:space="preserve">2026-09-29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Utah’s</w:t>
      </w:r>
      <w:r>
        <w:t xml:space="preserve"> </w:t>
      </w:r>
      <w:hyperlink r:id="rId9">
        <w:r>
          <w:rPr>
            <w:rStyle w:val="Hyperlink"/>
          </w:rPr>
          <w:t xml:space="preserve">UGRC</w:t>
        </w:r>
      </w:hyperlink>
      <w:r>
        <w:t xml:space="preserve"> </w:t>
      </w:r>
      <w:r>
        <w:t xml:space="preserve">publishes a very good free vector basemap, the</w:t>
      </w:r>
      <w:r>
        <w:t xml:space="preserve"> </w:t>
      </w:r>
      <w:r>
        <w:t xml:space="preserve">“Lite”</w:t>
      </w:r>
      <w:r>
        <w:t xml:space="preserve"> </w:t>
      </w:r>
      <w:r>
        <w:t xml:space="preserve">basemap, as three Esri vector-tile services:</w:t>
      </w:r>
      <w:r>
        <w:t xml:space="preserve"> </w:t>
      </w:r>
      <w:r>
        <w:rPr>
          <w:rStyle w:val="VerbatimChar"/>
        </w:rPr>
        <w:t xml:space="preserve">VectorHillshade</w:t>
      </w:r>
      <w:r>
        <w:t xml:space="preserve">,</w:t>
      </w:r>
      <w:r>
        <w:t xml:space="preserve"> </w:t>
      </w:r>
      <w:r>
        <w:rPr>
          <w:rStyle w:val="VerbatimChar"/>
        </w:rPr>
        <w:t xml:space="preserve">LiteBase</w:t>
      </w:r>
      <w:r>
        <w:t xml:space="preserve"> </w:t>
      </w:r>
      <w:r>
        <w:t xml:space="preserve">and</w:t>
      </w:r>
      <w:r>
        <w:t xml:space="preserve"> </w:t>
      </w:r>
      <w:r>
        <w:rPr>
          <w:rStyle w:val="VerbatimChar"/>
        </w:rPr>
        <w:t xml:space="preserve">LiteLabels</w:t>
      </w:r>
      <w:r>
        <w:t xml:space="preserve">. It has one look. If your app is dark, or you want something warmer, you are rewriting hundreds of layer styles by hand.</w:t>
      </w:r>
    </w:p>
    <w:p>
      <w:pPr>
        <w:pStyle w:val="BodyText"/>
      </w:pPr>
      <w:r>
        <w:rPr>
          <w:rStyle w:val="VerbatimChar"/>
        </w:rPr>
        <w:t xml:space="preserve">ugrc-styles</w:t>
      </w:r>
      <w:r>
        <w:t xml:space="preserve"> </w:t>
      </w:r>
      <w:r>
        <w:t xml:space="preserve">generates alternate themes from the live UGRC services, and ships a visual editor so you can tweak, compare and download them without touching JSON.</w:t>
      </w:r>
    </w:p>
    <w:bookmarkStart w:id="12" w:name="try-the-editor"/>
    <w:p>
      <w:pPr>
        <w:pStyle w:val="Heading2"/>
      </w:pPr>
      <w:r>
        <w:t xml:space="preserve">1 Try the editor</w:t>
      </w:r>
    </w:p>
    <w:p>
      <w:pPr>
        <w:pStyle w:val="FirstParagraph"/>
      </w:pPr>
      <w:r>
        <w:t xml:space="preserve">Pick a built-in theme (or drop in your own style), click a layer to edit its colors, opacity, filters or zoom range, and use</w:t>
      </w:r>
      <w:r>
        <w:t xml:space="preserve"> </w:t>
      </w:r>
      <w:r>
        <w:rPr>
          <w:b/>
          <w:bCs/>
        </w:rPr>
        <w:t xml:space="preserve">Compare against</w:t>
      </w:r>
      <w:r>
        <w:t xml:space="preserve"> </w:t>
      </w:r>
      <w:r>
        <w:t xml:space="preserve">to swipe your edit against another theme or UGRC’s own live basemap.</w:t>
      </w:r>
    </w:p>
    <w:p>
      <w:pPr>
        <w:pStyle w:val="BodyText"/>
      </w:pPr>
      <w:hyperlink r:id="rId10">
        <w:r>
          <w:rPr>
            <w:rStyle w:val="Hyperlink"/>
          </w:rPr>
          <w:t xml:space="preserve"> </w:t>
        </w:r>
        <w:r>
          <w:rPr>
            <w:rStyle w:val="Hyperlink"/>
          </w:rPr>
          <w:t xml:space="preserve">Open app</w:t>
        </w:r>
      </w:hyperlink>
      <w:r>
        <w:t xml:space="preserve"> </w:t>
      </w:r>
      <w:hyperlink r:id="rId11">
        <w:r>
          <w:rPr>
            <w:rStyle w:val="Hyperlink"/>
          </w:rPr>
          <w:t xml:space="preserve"> </w:t>
        </w:r>
        <w:r>
          <w:rPr>
            <w:rStyle w:val="Hyperlink"/>
          </w:rPr>
          <w:t xml:space="preserve">GitHub</w:t>
        </w:r>
      </w:hyperlink>
    </w:p>
    <w:bookmarkEnd w:id="12"/>
    <w:bookmarkStart w:id="15" w:name="the-themes"/>
    <w:p>
      <w:pPr>
        <w:pStyle w:val="Heading2"/>
      </w:pPr>
      <w:r>
        <w:t xml:space="preserve">2 The themes</w:t>
      </w:r>
    </w:p>
    <w:p>
      <w:pPr>
        <w:pStyle w:val="Compact"/>
        <w:numPr>
          <w:ilvl w:val="0"/>
          <w:numId w:val="1001"/>
        </w:numPr>
      </w:pPr>
      <w:r>
        <w:rPr>
          <w:b/>
          <w:bCs/>
        </w:rPr>
        <w:t xml:space="preserve">shadow</w:t>
      </w:r>
      <w:r>
        <w:t xml:space="preserve">: a dark restyling built from the color tokens of</w:t>
      </w:r>
      <w:r>
        <w:t xml:space="preserve"> </w:t>
      </w:r>
      <w:hyperlink r:id="rId13">
        <w:r>
          <w:rPr>
            <w:rStyle w:val="Hyperlink"/>
          </w:rPr>
          <w:t xml:space="preserve">Protomaps</w:t>
        </w:r>
      </w:hyperlink>
      <w:r>
        <w:t xml:space="preserve">’ dark flavor.</w:t>
      </w:r>
    </w:p>
    <w:p>
      <w:pPr>
        <w:pStyle w:val="Compact"/>
        <w:numPr>
          <w:ilvl w:val="0"/>
          <w:numId w:val="1001"/>
        </w:numPr>
      </w:pPr>
      <w:r>
        <w:rPr>
          <w:b/>
          <w:bCs/>
        </w:rPr>
        <w:t xml:space="preserve">sol</w:t>
      </w:r>
      <w:r>
        <w:t xml:space="preserve">: a warm light restyling based on</w:t>
      </w:r>
      <w:r>
        <w:t xml:space="preserve"> </w:t>
      </w:r>
      <w:hyperlink r:id="rId14">
        <w:r>
          <w:rPr>
            <w:rStyle w:val="Hyperlink"/>
          </w:rPr>
          <w:t xml:space="preserve">CARTO</w:t>
        </w:r>
      </w:hyperlink>
      <w:r>
        <w:t xml:space="preserve">’s Voyager colors, using UGRC’s colorful</w:t>
      </w:r>
      <w:r>
        <w:t xml:space="preserve"> </w:t>
      </w:r>
      <w:r>
        <w:rPr>
          <w:rStyle w:val="VerbatimChar"/>
        </w:rPr>
        <w:t xml:space="preserve">Vector_Overlay</w:t>
      </w:r>
      <w:r>
        <w:t xml:space="preserve"> </w:t>
      </w:r>
      <w:r>
        <w:t xml:space="preserve">icon set in place of the muted grayscale icons.</w:t>
      </w:r>
    </w:p>
    <w:p>
      <w:pPr>
        <w:pStyle w:val="FirstParagraph"/>
      </w:pPr>
      <w:r>
        <w:t xml:space="preserve">Neither theme vendors UGRC’s style definitions. Every build</w:t>
      </w:r>
      <w:r>
        <w:t xml:space="preserve"> </w:t>
      </w:r>
      <w:r>
        <w:rPr>
          <w:b/>
          <w:bCs/>
        </w:rPr>
        <w:t xml:space="preserve">fetches the three services live</w:t>
      </w:r>
      <w:r>
        <w:t xml:space="preserve">, then rewrites their</w:t>
      </w:r>
      <w:r>
        <w:t xml:space="preserve"> </w:t>
      </w:r>
      <w:r>
        <w:rPr>
          <w:rStyle w:val="VerbatimChar"/>
        </w:rPr>
        <w:t xml:space="preserve">paint</w:t>
      </w:r>
      <w:r>
        <w:t xml:space="preserve"> </w:t>
      </w:r>
      <w:r>
        <w:t xml:space="preserve">colors against the theme’s palette. The palette itself also comes from a live source (Protomaps’ flavor, or CARTO’s public Voyager style JSON), plus a small file of theme-specific tokens that source has no equivalent for. Only the generated output is committed, so it can be used without running any code.</w:t>
      </w:r>
    </w:p>
    <w:p>
      <w:pPr>
        <w:pStyle w:val="BodyText"/>
      </w:pPr>
      <w:r>
        <w:t xml:space="preserve">Sprites are the other half. Highway shields and base icons are raster PNGs, which can’t be recolored through paint properties, so the generator reworks the sprite sheets too (inverting them for a dark theme, for example).</w:t>
      </w:r>
    </w:p>
    <w:bookmarkEnd w:id="15"/>
    <w:bookmarkStart w:id="16" w:name="the-editor"/>
    <w:p>
      <w:pPr>
        <w:pStyle w:val="Heading2"/>
      </w:pPr>
      <w:r>
        <w:t xml:space="preserve">3 The editor</w:t>
      </w:r>
    </w:p>
    <w:p>
      <w:pPr>
        <w:pStyle w:val="FirstParagraph"/>
      </w:pPr>
      <w:r>
        <w:t xml:space="preserve">The editor is a single static page. It can:</w:t>
      </w:r>
    </w:p>
    <w:p>
      <w:pPr>
        <w:pStyle w:val="Compact"/>
        <w:numPr>
          <w:ilvl w:val="0"/>
          <w:numId w:val="1002"/>
        </w:numPr>
      </w:pPr>
      <w:r>
        <w:t xml:space="preserve">group layers the way UGRC’s own layer ids do (for example</w:t>
      </w:r>
      <w:r>
        <w:t xml:space="preserve"> </w:t>
      </w:r>
      <w:r>
        <w:t xml:space="preserve">“PARKS &amp; REC”</w:t>
      </w:r>
      <w:r>
        <w:t xml:space="preserve">) and filter them by id;</w:t>
      </w:r>
    </w:p>
    <w:p>
      <w:pPr>
        <w:pStyle w:val="Compact"/>
        <w:numPr>
          <w:ilvl w:val="0"/>
          <w:numId w:val="1002"/>
        </w:numPr>
      </w:pPr>
      <w:r>
        <w:t xml:space="preserve">edit colors, opacity, numbers, enums, filters and zoom ranges, with a raw-JSON fallback for anything else;</w:t>
      </w:r>
    </w:p>
    <w:p>
      <w:pPr>
        <w:pStyle w:val="Compact"/>
        <w:numPr>
          <w:ilvl w:val="0"/>
          <w:numId w:val="1002"/>
        </w:numPr>
      </w:pPr>
      <w:r>
        <w:rPr>
          <w:b/>
          <w:bCs/>
        </w:rPr>
        <w:t xml:space="preserve">apply one edit to every layer that shares the same value</w:t>
      </w:r>
      <w:r>
        <w:t xml:space="preserve">, which matters because UGRC splits one road class across a dozen or more zoom-band layers;</w:t>
      </w:r>
    </w:p>
    <w:p>
      <w:pPr>
        <w:pStyle w:val="Compact"/>
        <w:numPr>
          <w:ilvl w:val="0"/>
          <w:numId w:val="1002"/>
        </w:numPr>
      </w:pPr>
      <w:r>
        <w:t xml:space="preserve">inspect the map: hover or click to see which layer is drawing what is under the cursor, then jump to it;</w:t>
      </w:r>
    </w:p>
    <w:p>
      <w:pPr>
        <w:pStyle w:val="Compact"/>
        <w:numPr>
          <w:ilvl w:val="0"/>
          <w:numId w:val="1002"/>
        </w:numPr>
      </w:pPr>
      <w:r>
        <w:t xml:space="preserve">swipe-compare against any theme, UGRC’s live basemap, or your upload, with an address search on either map;</w:t>
      </w:r>
    </w:p>
    <w:p>
      <w:pPr>
        <w:pStyle w:val="Compact"/>
        <w:numPr>
          <w:ilvl w:val="0"/>
          <w:numId w:val="1002"/>
        </w:numPr>
      </w:pPr>
      <w:r>
        <w:t xml:space="preserve">autosave for crash recovery, and download one combined style or the three separate service files.</w:t>
      </w:r>
    </w:p>
    <w:bookmarkEnd w:id="16"/>
    <w:bookmarkStart w:id="19" w:name="using-a-downloaded-style"/>
    <w:p>
      <w:pPr>
        <w:pStyle w:val="Heading2"/>
      </w:pPr>
      <w:r>
        <w:t xml:space="preserve">4 Using a downloaded style</w:t>
      </w:r>
    </w:p>
    <w:p>
      <w:pPr>
        <w:pStyle w:val="FirstParagraph"/>
      </w:pPr>
      <w:r>
        <w:t xml:space="preserve">A style JSON is a set of instructions that MapLibre reads and renders live, still pulling the actual data from UGRC. There is one UGRC-specific gotcha: the vector source is shaped the way Esri’s</w:t>
      </w:r>
      <w:r>
        <w:t xml:space="preserve"> </w:t>
      </w:r>
      <w:r>
        <w:rPr>
          <w:rStyle w:val="VerbatimChar"/>
        </w:rPr>
        <w:t xml:space="preserve">VectorTileServer</w:t>
      </w:r>
      <w:r>
        <w:t xml:space="preserve"> </w:t>
      </w:r>
      <w:r>
        <w:t xml:space="preserve">publishes it, which Esri’s own tools resolve but generic renderers do not. MapLibre fails with</w:t>
      </w:r>
      <w:r>
        <w:t xml:space="preserve"> </w:t>
      </w:r>
      <w:r>
        <w:rPr>
          <w:rStyle w:val="VerbatimChar"/>
        </w:rPr>
        <w:t xml:space="preserve">Failed to parse URL from tile/...</w:t>
      </w:r>
      <w:r>
        <w:t xml:space="preserve"> </w:t>
      </w:r>
      <w:r>
        <w:t xml:space="preserve">until the source is rewritten into the</w:t>
      </w:r>
      <w:r>
        <w:t xml:space="preserve"> </w:t>
      </w:r>
      <w:r>
        <w:rPr>
          <w:rStyle w:val="VerbatimChar"/>
        </w:rPr>
        <w:t xml:space="preserve">tiles</w:t>
      </w:r>
      <w:r>
        <w:t xml:space="preserve"> </w:t>
      </w:r>
      <w:r>
        <w:t xml:space="preserve">array the style spec expects:</w:t>
      </w:r>
    </w:p>
    <w:bookmarkStart w:id="17" w:name="annotated-cell-1"/>
    <w:p>
      <w:pPr>
        <w:pStyle w:val="SourceCode"/>
      </w:pPr>
      <w:r>
        <w:rPr>
          <w:rStyle w:val="FunctionTok"/>
        </w:rPr>
        <w:t xml:space="preserve">fetch</w:t>
      </w:r>
      <w:r>
        <w:rPr>
          <w:rStyle w:val="NormalTok"/>
        </w:rPr>
        <w:t xml:space="preserve">(</w:t>
      </w:r>
      <w:r>
        <w:rPr>
          <w:rStyle w:val="StringTok"/>
        </w:rPr>
        <w:t xml:space="preserve">"./ugrc-lite-edited.json"</w:t>
      </w:r>
      <w:r>
        <w:rPr>
          <w:rStyle w:val="NormalTok"/>
        </w:rPr>
        <w:t xml:space="preserve">)</w:t>
      </w:r>
      <w:r>
        <w:br/>
      </w:r>
      <w:r>
        <w:rPr>
          <w:rStyle w:val="NormalTok"/>
        </w:rPr>
        <w:t xml:space="preserve">  </w:t>
      </w:r>
      <w:r>
        <w:rPr>
          <w:rStyle w:val="OperatorTok"/>
        </w:rPr>
        <w:t xml:space="preserve">.</w:t>
      </w:r>
      <w:r>
        <w:rPr>
          <w:rStyle w:val="FunctionTok"/>
        </w:rPr>
        <w:t xml:space="preserve">then</w:t>
      </w:r>
      <w:r>
        <w:rPr>
          <w:rStyle w:val="NormalTok"/>
        </w:rPr>
        <w:t xml:space="preserve">((r) </w:t>
      </w:r>
      <w:r>
        <w:rPr>
          <w:rStyle w:val="KeywordTok"/>
        </w:rPr>
        <w:t xml:space="preserve">=&gt;</w:t>
      </w:r>
      <w:r>
        <w:rPr>
          <w:rStyle w:val="NormalTok"/>
        </w:rPr>
        <w:t xml:space="preserve"> r</w:t>
      </w:r>
      <w:r>
        <w:rPr>
          <w:rStyle w:val="OperatorTok"/>
        </w:rPr>
        <w:t xml:space="preserve">.</w:t>
      </w:r>
      <w:r>
        <w:rPr>
          <w:rStyle w:val="FunctionTok"/>
        </w:rPr>
        <w:t xml:space="preserve">json</w:t>
      </w:r>
      <w:r>
        <w:rPr>
          <w:rStyle w:val="NormalTok"/>
        </w:rPr>
        <w:t xml:space="preserve">())</w:t>
      </w:r>
      <w:r>
        <w:br/>
      </w:r>
      <w:r>
        <w:rPr>
          <w:rStyle w:val="NormalTok"/>
        </w:rPr>
        <w:t xml:space="preserve">  </w:t>
      </w:r>
      <w:r>
        <w:rPr>
          <w:rStyle w:val="OperatorTok"/>
        </w:rPr>
        <w:t xml:space="preserve">.</w:t>
      </w:r>
      <w:r>
        <w:rPr>
          <w:rStyle w:val="FunctionTok"/>
        </w:rPr>
        <w:t xml:space="preserve">then</w:t>
      </w:r>
      <w:r>
        <w:rPr>
          <w:rStyle w:val="NormalTok"/>
        </w:rPr>
        <w:t xml:space="preserve">((style) </w:t>
      </w:r>
      <w:r>
        <w:rPr>
          <w:rStyle w:val="KeywordTok"/>
        </w:rPr>
        <w:t xml:space="preserve">=&gt;</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[id</w:t>
      </w:r>
      <w:r>
        <w:rPr>
          <w:rStyle w:val="OperatorTok"/>
        </w:rPr>
        <w:t xml:space="preserve">,</w:t>
      </w:r>
      <w:r>
        <w:rPr>
          <w:rStyle w:val="NormalTok"/>
        </w:rPr>
        <w:t xml:space="preserve"> src] </w:t>
      </w:r>
      <w:r>
        <w:rPr>
          <w:rStyle w:val="KeywordTok"/>
        </w:rPr>
        <w:t xml:space="preserve">of</w:t>
      </w:r>
      <w:r>
        <w:rPr>
          <w:rStyle w:val="NormalTok"/>
        </w:rPr>
        <w:t xml:space="preserve"> </w:t>
      </w:r>
      <w:r>
        <w:rPr>
          <w:rStyle w:val="BuiltInTok"/>
        </w:rPr>
        <w:t xml:space="preserve">Object</w:t>
      </w:r>
      <w:r>
        <w:rPr>
          <w:rStyle w:val="OperatorTok"/>
        </w:rPr>
        <w:t xml:space="preserve">.</w:t>
      </w:r>
      <w:r>
        <w:rPr>
          <w:rStyle w:val="FunctionTok"/>
        </w:rPr>
        <w:t xml:space="preserve">entries</w:t>
      </w:r>
      <w:r>
        <w:rPr>
          <w:rStyle w:val="NormalTok"/>
        </w:rPr>
        <w:t xml:space="preserve">(style</w:t>
      </w:r>
      <w:r>
        <w:rPr>
          <w:rStyle w:val="OperatorTok"/>
        </w:rPr>
        <w:t xml:space="preserve">.</w:t>
      </w:r>
      <w:r>
        <w:rPr>
          <w:rStyle w:val="AttributeTok"/>
        </w:rPr>
        <w:t xml:space="preserve">sources</w:t>
      </w:r>
      <w:r>
        <w:rPr>
          <w:rStyle w:val="NormalTok"/>
        </w:rPr>
        <w:t xml:space="preserve">)) {</w:t>
      </w:r>
      <w:r>
        <w:br/>
      </w:r>
      <w:r>
        <w:rPr>
          <w:rStyle w:val="NormalTok"/>
        </w:rPr>
        <w:t xml:space="preserve">      </w:t>
      </w:r>
      <w:r>
        <w:rPr>
          <w:rStyle w:val="ControlFlowTok"/>
        </w:rPr>
        <w:t xml:space="preserve">if</w:t>
      </w:r>
      <w:r>
        <w:rPr>
          <w:rStyle w:val="NormalTok"/>
        </w:rPr>
        <w:t xml:space="preserve"> (src</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"vector"</w:t>
      </w:r>
      <w:r>
        <w:rPr>
          <w:rStyle w:val="NormalTok"/>
        </w:rPr>
        <w:t xml:space="preserve"> </w:t>
      </w:r>
      <w:r>
        <w:rPr>
          <w:rStyle w:val="OperatorTok"/>
        </w:rPr>
        <w:t xml:space="preserve">&amp;&amp;</w:t>
      </w:r>
      <w:r>
        <w:rPr>
          <w:rStyle w:val="NormalTok"/>
        </w:rPr>
        <w:t xml:space="preserve"> </w:t>
      </w:r>
      <w:r>
        <w:rPr>
          <w:rStyle w:val="KeywordTok"/>
        </w:rPr>
        <w:t xml:space="preserve">typeof</w:t>
      </w:r>
      <w:r>
        <w:rPr>
          <w:rStyle w:val="NormalTok"/>
        </w:rPr>
        <w:t xml:space="preserve"> src</w:t>
      </w:r>
      <w:r>
        <w:rPr>
          <w:rStyle w:val="OperatorTok"/>
        </w:rPr>
        <w:t xml:space="preserve">.</w:t>
      </w:r>
      <w:r>
        <w:rPr>
          <w:rStyle w:val="AttributeTok"/>
        </w:rPr>
        <w:t xml:space="preserve">url</w:t>
      </w:r>
      <w:r>
        <w:rPr>
          <w:rStyle w:val="NormalTok"/>
        </w:rPr>
        <w:t xml:space="preserve"> </w:t>
      </w:r>
      <w:r>
        <w:rPr>
          <w:rStyle w:val="OperatorTok"/>
        </w:rPr>
        <w:t xml:space="preserve">===</w:t>
      </w:r>
      <w:r>
        <w:rPr>
          <w:rStyle w:val="NormalTok"/>
        </w:rPr>
        <w:t xml:space="preserve"> </w:t>
      </w:r>
      <w:r>
        <w:rPr>
          <w:rStyle w:val="StringTok"/>
        </w:rPr>
        <w:t xml:space="preserve">"string"</w:t>
      </w:r>
      <w:r>
        <w:rPr>
          <w:rStyle w:val="NormalTok"/>
        </w:rPr>
        <w:t xml:space="preserve">) {</w:t>
      </w:r>
      <w:r>
        <w:br/>
      </w:r>
      <w:r>
        <w:rPr>
          <w:rStyle w:val="NormalTok"/>
        </w:rPr>
        <w:t xml:space="preserve">        style</w:t>
      </w:r>
      <w:r>
        <w:rPr>
          <w:rStyle w:val="OperatorTok"/>
        </w:rPr>
        <w:t xml:space="preserve">.</w:t>
      </w:r>
      <w:r>
        <w:rPr>
          <w:rStyle w:val="AttributeTok"/>
        </w:rPr>
        <w:t xml:space="preserve">sources</w:t>
      </w:r>
      <w:r>
        <w:rPr>
          <w:rStyle w:val="NormalTok"/>
        </w:rPr>
        <w:t xml:space="preserve">[id] </w:t>
      </w:r>
      <w:r>
        <w:rPr>
          <w:rStyle w:val="OperatorTok"/>
        </w:rPr>
        <w:t xml:space="preserve">=</w:t>
      </w:r>
      <w:r>
        <w:rPr>
          <w:rStyle w:val="NormalTok"/>
        </w:rPr>
        <w:t xml:space="preserve"> { </w:t>
      </w:r>
      <w:r>
        <w:rPr>
          <w:rStyle w:val="OperatorTok"/>
        </w:rPr>
        <w:t xml:space="preserve">...</w:t>
      </w:r>
      <w:r>
        <w:rPr>
          <w:rStyle w:val="NormalTok"/>
        </w:rPr>
        <w:t xml:space="preserve">src</w:t>
      </w:r>
      <w:r>
        <w:rPr>
          <w:rStyle w:val="OperatorTok"/>
        </w:rPr>
        <w:t xml:space="preserve">,</w:t>
      </w:r>
      <w:r>
        <w:rPr>
          <w:rStyle w:val="NormalTok"/>
        </w:rPr>
        <w:t xml:space="preserve"> </w:t>
      </w:r>
      <w:r>
        <w:rPr>
          <w:rStyle w:val="DataTypeTok"/>
        </w:rPr>
        <w:t xml:space="preserve">tiles</w:t>
      </w:r>
      <w:r>
        <w:rPr>
          <w:rStyle w:val="OperatorTok"/>
        </w:rPr>
        <w:t xml:space="preserve">:</w:t>
      </w:r>
      <w:r>
        <w:rPr>
          <w:rStyle w:val="NormalTok"/>
        </w:rPr>
        <w:t xml:space="preserve"> [src</w:t>
      </w:r>
      <w:r>
        <w:rPr>
          <w:rStyle w:val="OperatorTok"/>
        </w:rPr>
        <w:t xml:space="preserve">.</w:t>
      </w:r>
      <w:r>
        <w:rPr>
          <w:rStyle w:val="AttributeTok"/>
        </w:rPr>
        <w:t xml:space="preserve">url</w:t>
      </w:r>
      <w:r>
        <w:rPr>
          <w:rStyle w:val="NormalTok"/>
        </w:rPr>
        <w:t xml:space="preserve"> </w:t>
      </w:r>
      <w:r>
        <w:rPr>
          <w:rStyle w:val="OperatorTok"/>
        </w:rPr>
        <w:t xml:space="preserve">+</w:t>
      </w:r>
      <w:r>
        <w:rPr>
          <w:rStyle w:val="NormalTok"/>
        </w:rPr>
        <w:t xml:space="preserve"> </w:t>
      </w:r>
      <w:r>
        <w:rPr>
          <w:rStyle w:val="StringTok"/>
        </w:rPr>
        <w:t xml:space="preserve">"tile/{z}/{y}/{x}.pbf"</w:t>
      </w:r>
      <w:r>
        <w:rPr>
          <w:rStyle w:val="NormalTok"/>
        </w:rPr>
        <w:t xml:space="preserve">] }</w:t>
      </w:r>
      <w:r>
        <w:rPr>
          <w:rStyle w:val="OperatorTok"/>
        </w:rPr>
        <w:t xml:space="preserve">;</w:t>
      </w:r>
      <w:r>
        <w:br/>
      </w:r>
      <w:r>
        <w:rPr>
          <w:rStyle w:val="NormalTok"/>
        </w:rPr>
        <w:t xml:space="preserve">        </w:t>
      </w:r>
      <w:r>
        <w:rPr>
          <w:rStyle w:val="KeywordTok"/>
        </w:rPr>
        <w:t xml:space="preserve">delete</w:t>
      </w:r>
      <w:r>
        <w:rPr>
          <w:rStyle w:val="NormalTok"/>
        </w:rPr>
        <w:t xml:space="preserve"> style</w:t>
      </w:r>
      <w:r>
        <w:rPr>
          <w:rStyle w:val="OperatorTok"/>
        </w:rPr>
        <w:t xml:space="preserve">.</w:t>
      </w:r>
      <w:r>
        <w:rPr>
          <w:rStyle w:val="AttributeTok"/>
        </w:rPr>
        <w:t xml:space="preserve">sources</w:t>
      </w:r>
      <w:r>
        <w:rPr>
          <w:rStyle w:val="NormalTok"/>
        </w:rPr>
        <w:t xml:space="preserve">[id]</w:t>
      </w:r>
      <w:r>
        <w:rPr>
          <w:rStyle w:val="OperatorTok"/>
        </w:rPr>
        <w:t xml:space="preserve">.</w:t>
      </w:r>
      <w:r>
        <w:rPr>
          <w:rStyle w:val="AttributeTok"/>
        </w:rPr>
        <w:t xml:space="preserve">url</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KeywordTok"/>
        </w:rPr>
        <w:t xml:space="preserve">new</w:t>
      </w:r>
      <w:r>
        <w:rPr>
          <w:rStyle w:val="NormalTok"/>
        </w:rPr>
        <w:t xml:space="preserve"> maplibregl</w:t>
      </w:r>
      <w:r>
        <w:rPr>
          <w:rStyle w:val="OperatorTok"/>
        </w:rPr>
        <w:t xml:space="preserve">.</w:t>
      </w:r>
      <w:r>
        <w:rPr>
          <w:rStyle w:val="FunctionTok"/>
        </w:rPr>
        <w:t xml:space="preserve">Map</w:t>
      </w:r>
      <w:r>
        <w:rPr>
          <w:rStyle w:val="NormalTok"/>
        </w:rPr>
        <w:t xml:space="preserve">({ </w:t>
      </w:r>
      <w:r>
        <w:rPr>
          <w:rStyle w:val="DataTypeTok"/>
        </w:rPr>
        <w:t xml:space="preserve">container</w:t>
      </w:r>
      <w:r>
        <w:rPr>
          <w:rStyle w:val="OperatorTok"/>
        </w:rPr>
        <w:t xml:space="preserve">:</w:t>
      </w:r>
      <w:r>
        <w:rPr>
          <w:rStyle w:val="NormalTok"/>
        </w:rPr>
        <w:t xml:space="preserve"> </w:t>
      </w:r>
      <w:r>
        <w:rPr>
          <w:rStyle w:val="StringTok"/>
        </w:rPr>
        <w:t xml:space="preserve">"map"</w:t>
      </w:r>
      <w:r>
        <w:rPr>
          <w:rStyle w:val="OperatorTok"/>
        </w:rPr>
        <w:t xml:space="preserve">,</w:t>
      </w:r>
      <w:r>
        <w:rPr>
          <w:rStyle w:val="NormalTok"/>
        </w:rPr>
        <w:t xml:space="preserve"> style</w:t>
      </w:r>
      <w:r>
        <w:rPr>
          <w:rStyle w:val="OperatorTok"/>
        </w:rPr>
        <w:t xml:space="preserve">,</w:t>
      </w:r>
      <w:r>
        <w:rPr>
          <w:rStyle w:val="NormalTok"/>
        </w:rPr>
        <w:t xml:space="preserve"> </w:t>
      </w:r>
      <w:r>
        <w:rPr>
          <w:rStyle w:val="DataTypeTok"/>
        </w:rPr>
        <w:t xml:space="preserve">center</w:t>
      </w:r>
      <w:r>
        <w:rPr>
          <w:rStyle w:val="OperatorTok"/>
        </w:rPr>
        <w:t xml:space="preserve">:</w:t>
      </w:r>
      <w:r>
        <w:rPr>
          <w:rStyle w:val="NormalTok"/>
        </w:rPr>
        <w:t xml:space="preserve"> [</w:t>
      </w:r>
      <w:r>
        <w:rPr>
          <w:rStyle w:val="OperatorTok"/>
        </w:rPr>
        <w:t xml:space="preserve">-</w:t>
      </w:r>
      <w:r>
        <w:rPr>
          <w:rStyle w:val="FloatTok"/>
        </w:rPr>
        <w:t xml:space="preserve">111.891</w:t>
      </w:r>
      <w:r>
        <w:rPr>
          <w:rStyle w:val="OperatorTok"/>
        </w:rPr>
        <w:t xml:space="preserve">,</w:t>
      </w:r>
      <w:r>
        <w:rPr>
          <w:rStyle w:val="NormalTok"/>
        </w:rPr>
        <w:t xml:space="preserve"> </w:t>
      </w:r>
      <w:r>
        <w:rPr>
          <w:rStyle w:val="FloatTok"/>
        </w:rPr>
        <w:t xml:space="preserve">40.761</w:t>
      </w:r>
      <w:r>
        <w:rPr>
          <w:rStyle w:val="NormalTok"/>
        </w:rPr>
        <w:t xml:space="preserve">]</w:t>
      </w:r>
      <w:r>
        <w:rPr>
          <w:rStyle w:val="OperatorTok"/>
        </w:rPr>
        <w:t xml:space="preserve">,</w:t>
      </w:r>
      <w:r>
        <w:rPr>
          <w:rStyle w:val="NormalTok"/>
        </w:rPr>
        <w:t xml:space="preserve"> </w:t>
      </w:r>
      <w:r>
        <w:rPr>
          <w:rStyle w:val="DataTypeTok"/>
        </w:rPr>
        <w:t xml:space="preserve">zoom</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br/>
      </w:r>
      <w:r>
        <w:rPr>
          <w:rStyle w:val="NormalTok"/>
        </w:rPr>
        <w:t xml:space="preserve">  })</w:t>
      </w:r>
      <w:r>
        <w:rPr>
          <w:rStyle w:val="OperatorTok"/>
        </w:rPr>
        <w:t xml:space="preserve">;</w:t>
      </w:r>
    </w:p>
    <w:bookmarkEnd w:id="17"/>
    <w:p>
      <w:pPr>
        <w:pStyle w:val="DefinitionTerm"/>
      </w:pPr>
      <w:r>
        <w:t xml:space="preserve">Line 1</w:t>
      </w:r>
    </w:p>
    <w:p>
      <w:pPr>
        <w:pStyle w:val="Definition"/>
      </w:pPr>
      <w:r>
        <w:t xml:space="preserve">Whatever combined style you downloaded from the editor.</w:t>
      </w:r>
    </w:p>
    <w:p>
      <w:pPr>
        <w:pStyle w:val="DefinitionTerm"/>
      </w:pPr>
      <w:r>
        <w:t xml:space="preserve">Line 4</w:t>
      </w:r>
    </w:p>
    <w:p>
      <w:pPr>
        <w:pStyle w:val="Definition"/>
      </w:pPr>
      <w:r>
        <w:t xml:space="preserve">Find every vector source that still uses Esri’s</w:t>
      </w:r>
      <w:r>
        <w:t xml:space="preserve"> </w:t>
      </w:r>
      <w:r>
        <w:rPr>
          <w:rStyle w:val="VerbatimChar"/>
        </w:rPr>
        <w:t xml:space="preserve">url</w:t>
      </w:r>
      <w:r>
        <w:t xml:space="preserve"> </w:t>
      </w:r>
      <w:r>
        <w:t xml:space="preserve">form.</w:t>
      </w:r>
    </w:p>
    <w:p>
      <w:pPr>
        <w:pStyle w:val="DefinitionTerm"/>
      </w:pPr>
      <w:r>
        <w:t xml:space="preserve">Line 6</w:t>
      </w:r>
    </w:p>
    <w:p>
      <w:pPr>
        <w:pStyle w:val="Definition"/>
      </w:pPr>
      <w:r>
        <w:t xml:space="preserve">Rewrite it into an explicit</w:t>
      </w:r>
      <w:r>
        <w:t xml:space="preserve"> </w:t>
      </w:r>
      <w:r>
        <w:rPr>
          <w:rStyle w:val="VerbatimChar"/>
        </w:rPr>
        <w:t xml:space="preserve">tiles</w:t>
      </w:r>
      <w:r>
        <w:t xml:space="preserve"> </w:t>
      </w:r>
      <w:r>
        <w:t xml:space="preserve">template.</w:t>
      </w:r>
    </w:p>
    <w:p>
      <w:pPr>
        <w:pStyle w:val="DefinitionTerm"/>
      </w:pPr>
      <w:r>
        <w:t xml:space="preserve">Line 10</w:t>
      </w:r>
    </w:p>
    <w:p>
      <w:pPr>
        <w:pStyle w:val="Definition"/>
      </w:pPr>
      <w:r>
        <w:t xml:space="preserve">Hand the fixed style to MapLibre, centered on Salt Lake City.</w:t>
      </w:r>
    </w:p>
    <w:p>
      <w:pPr>
        <w:pStyle w:val="FirstParagraph"/>
      </w:pPr>
      <w:r>
        <w:t xml:space="preserve">For the fastest look with no code, drop the file into</w:t>
      </w:r>
      <w:r>
        <w:t xml:space="preserve"> </w:t>
      </w:r>
      <w:hyperlink r:id="rId18">
        <w:r>
          <w:rPr>
            <w:rStyle w:val="Hyperlink"/>
          </w:rPr>
          <w:t xml:space="preserve">Maputnik</w:t>
        </w:r>
      </w:hyperlink>
      <w:r>
        <w:t xml:space="preserve">. Regenerating the themes is</w:t>
      </w:r>
      <w:r>
        <w:t xml:space="preserve"> </w:t>
      </w:r>
      <w:r>
        <w:rPr>
          <w:rStyle w:val="VerbatimChar"/>
        </w:rPr>
        <w:t xml:space="preserve">uv run ugrc-styles</w:t>
      </w:r>
      <w:r>
        <w:t xml:space="preserve">, and adding a theme is a new directory under</w:t>
      </w:r>
      <w:r>
        <w:t xml:space="preserve"> </w:t>
      </w:r>
      <w:r>
        <w:rPr>
          <w:rStyle w:val="VerbatimChar"/>
        </w:rPr>
        <w:t xml:space="preserve">config/themes/</w:t>
      </w:r>
      <w:r>
        <w:t xml:space="preserve">. The code is on</w:t>
      </w:r>
      <w:r>
        <w:t xml:space="preserve"> </w:t>
      </w:r>
      <w:hyperlink r:id="rId11">
        <w:r>
          <w:rPr>
            <w:rStyle w:val="Hyperlink"/>
          </w:rPr>
          <w:t xml:space="preserve">GitHub</w:t>
        </w:r>
      </w:hyperlink>
      <w:r>
        <w:t xml:space="preserve">.</w:t>
      </w:r>
    </w:p>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ar-puuk.github.io/ugrc-styles/" TargetMode="External" /><Relationship Type="http://schemas.openxmlformats.org/officeDocument/2006/relationships/hyperlink" Id="rId14" Target="https://carto.com/" TargetMode="External" /><Relationship Type="http://schemas.openxmlformats.org/officeDocument/2006/relationships/hyperlink" Id="rId9" Target="https://gis.utah.gov/" TargetMode="External" /><Relationship Type="http://schemas.openxmlformats.org/officeDocument/2006/relationships/hyperlink" Id="rId11" Target="https://github.com/ar-puuk/ugrc-styles" TargetMode="External" /><Relationship Type="http://schemas.openxmlformats.org/officeDocument/2006/relationships/hyperlink" Id="rId18" Target="https://maplibre.org/maputnik/" TargetMode="External" /><Relationship Type="http://schemas.openxmlformats.org/officeDocument/2006/relationships/hyperlink" Id="rId13" Target="https://protomaps.com/" TargetMode="External" /></Relationships>
</file>

<file path=word/_rels/footnotes.xml.rels><?xml version="1.0" encoding="UTF-8"?><Relationships xmlns="http://schemas.openxmlformats.org/package/2006/relationships"><Relationship Type="http://schemas.openxmlformats.org/officeDocument/2006/relationships/hyperlink" Id="rId10" Target="https://ar-puuk.github.io/ugrc-styles/" TargetMode="External" /><Relationship Type="http://schemas.openxmlformats.org/officeDocument/2006/relationships/hyperlink" Id="rId14" Target="https://carto.com/" TargetMode="External" /><Relationship Type="http://schemas.openxmlformats.org/officeDocument/2006/relationships/hyperlink" Id="rId9" Target="https://gis.utah.gov/" TargetMode="External" /><Relationship Type="http://schemas.openxmlformats.org/officeDocument/2006/relationships/hyperlink" Id="rId11" Target="https://github.com/ar-puuk/ugrc-styles" TargetMode="External" /><Relationship Type="http://schemas.openxmlformats.org/officeDocument/2006/relationships/hyperlink" Id="rId18" Target="https://maplibre.org/maputnik/" TargetMode="External" /><Relationship Type="http://schemas.openxmlformats.org/officeDocument/2006/relationships/hyperlink" Id="rId13" Target="https://protomap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Restyling Utah’s Vector Basemap for MapLibre</dc:title>
  <dc:creator>Pukar Bhandari</dc:creator>
  <dc:description>Alternate MapLibre styles for UGRC’s Lite vector basemap, generated from live upstream sources, and a visual editor to tweak, compare and download them.</dc:description>
  <cp:keywords/>
  <dcterms:created xsi:type="dcterms:W3CDTF">2026-10-24T02:34:44Z</dcterms:created>
  <dcterms:modified xsi:type="dcterms:W3CDTF">2026-10-24T02:34:44Z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categories">
    <vt:lpwstr/>
  </property>
  <property fmtid="{D5CDD505-2E9C-101B-9397-08002B2CF9AE}" pid="6" name="citation">
    <vt:lpwstr/>
  </property>
  <property fmtid="{D5CDD505-2E9C-101B-9397-08002B2CF9AE}" pid="7" name="code-annotations">
    <vt:lpwstr>select</vt:lpwstr>
  </property>
  <property fmtid="{D5CDD505-2E9C-101B-9397-08002B2CF9AE}" pid="8" name="cookie-consent">
    <vt:lpwstr>True</vt:lpwstr>
  </property>
  <property fmtid="{D5CDD505-2E9C-101B-9397-08002B2CF9AE}" pid="9" name="date">
    <vt:lpwstr>2026-09-29</vt:lpwstr>
  </property>
  <property fmtid="{D5CDD505-2E9C-101B-9397-08002B2CF9AE}" pid="10" name="header-includes">
    <vt:lpwstr/>
  </property>
  <property fmtid="{D5CDD505-2E9C-101B-9397-08002B2CF9AE}" pid="11" name="image">
    <vt:lpwstr>ugrc_styles.png</vt:lpwstr>
  </property>
  <property fmtid="{D5CDD505-2E9C-101B-9397-08002B2CF9AE}" pid="12" name="include-after">
    <vt:lpwstr/>
  </property>
  <property fmtid="{D5CDD505-2E9C-101B-9397-08002B2CF9AE}" pid="13" name="include-before">
    <vt:lpwstr/>
  </property>
  <property fmtid="{D5CDD505-2E9C-101B-9397-08002B2CF9AE}" pid="14" name="knitr">
    <vt:lpwstr/>
  </property>
  <property fmtid="{D5CDD505-2E9C-101B-9397-08002B2CF9AE}" pid="15" name="labels">
    <vt:lpwstr/>
  </property>
  <property fmtid="{D5CDD505-2E9C-101B-9397-08002B2CF9AE}" pid="16" name="number-depth">
    <vt:lpwstr>2</vt:lpwstr>
  </property>
  <property fmtid="{D5CDD505-2E9C-101B-9397-08002B2CF9AE}" pid="17" name="page-layout">
    <vt:lpwstr>article</vt:lpwstr>
  </property>
  <property fmtid="{D5CDD505-2E9C-101B-9397-08002B2CF9AE}" pid="18" name="page-navigation">
    <vt:lpwstr>True</vt:lpwstr>
  </property>
  <property fmtid="{D5CDD505-2E9C-101B-9397-08002B2CF9AE}" pid="19" name="subtitle">
    <vt:lpwstr>Dark and warm-light themes for UGRC’s Lite basemap, plus a browser-based style editor</vt:lpwstr>
  </property>
  <property fmtid="{D5CDD505-2E9C-101B-9397-08002B2CF9AE}" pid="20" name="title-block-banner">
    <vt:lpwstr>True</vt:lpwstr>
  </property>
  <property fmtid="{D5CDD505-2E9C-101B-9397-08002B2CF9AE}" pid="21" name="toc-title">
    <vt:lpwstr>Table of contents</vt:lpwstr>
  </property>
</Properties>
</file>